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23B" w:rsidRPr="00BD023B" w:rsidRDefault="00BD023B" w:rsidP="00BD023B">
      <w:pPr>
        <w:tabs>
          <w:tab w:val="right" w:pos="9639"/>
        </w:tabs>
        <w:spacing w:after="0" w:line="240" w:lineRule="auto"/>
        <w:rPr>
          <w:rFonts w:ascii="Arial" w:eastAsia="Malgun Gothic" w:hAnsi="Arial" w:cs="Times New Roman"/>
          <w:b/>
          <w:i/>
          <w:noProof/>
          <w:sz w:val="28"/>
          <w:szCs w:val="20"/>
          <w:lang w:val="en-GB"/>
        </w:rPr>
      </w:pPr>
      <w:r w:rsidRPr="00BD023B">
        <w:rPr>
          <w:rFonts w:ascii="Arial" w:eastAsia="Malgun Gothic" w:hAnsi="Arial" w:cs="Arial"/>
          <w:b/>
          <w:noProof/>
          <w:sz w:val="24"/>
          <w:szCs w:val="20"/>
          <w:lang w:val="en-GB"/>
        </w:rPr>
        <w:t>SA WG2 Meeting #161</w:t>
      </w:r>
      <w:r w:rsidRPr="00BD023B">
        <w:rPr>
          <w:rFonts w:ascii="Arial" w:eastAsia="Malgun Gothic" w:hAnsi="Arial" w:cs="Times New Roman"/>
          <w:b/>
          <w:i/>
          <w:noProof/>
          <w:sz w:val="28"/>
          <w:szCs w:val="20"/>
          <w:lang w:val="en-GB"/>
        </w:rPr>
        <w:tab/>
      </w:r>
      <w:r w:rsidRPr="00BD023B">
        <w:rPr>
          <w:rFonts w:ascii="Arial" w:eastAsia="Malgun Gothic" w:hAnsi="Arial" w:cs="Arial"/>
          <w:b/>
          <w:noProof/>
          <w:sz w:val="24"/>
          <w:szCs w:val="20"/>
          <w:lang w:val="en-GB"/>
        </w:rPr>
        <w:t>S2-</w:t>
      </w:r>
      <w:r>
        <w:rPr>
          <w:rFonts w:ascii="Arial" w:eastAsia="Malgun Gothic" w:hAnsi="Arial" w:cs="Arial"/>
          <w:b/>
          <w:noProof/>
          <w:sz w:val="24"/>
          <w:szCs w:val="20"/>
          <w:lang w:val="en-GB"/>
        </w:rPr>
        <w:t>2</w:t>
      </w:r>
      <w:r w:rsidR="00B16528">
        <w:rPr>
          <w:rFonts w:ascii="Arial" w:eastAsia="Malgun Gothic" w:hAnsi="Arial" w:cs="Arial"/>
          <w:b/>
          <w:noProof/>
          <w:sz w:val="24"/>
          <w:szCs w:val="20"/>
          <w:lang w:val="en-GB"/>
        </w:rPr>
        <w:t>4</w:t>
      </w:r>
      <w:r>
        <w:rPr>
          <w:rFonts w:ascii="Arial" w:eastAsia="Malgun Gothic" w:hAnsi="Arial" w:cs="Arial"/>
          <w:b/>
          <w:noProof/>
          <w:sz w:val="24"/>
          <w:szCs w:val="20"/>
          <w:lang w:val="en-GB"/>
        </w:rPr>
        <w:t>0</w:t>
      </w:r>
      <w:r w:rsidR="00B16528">
        <w:rPr>
          <w:rFonts w:ascii="Arial" w:eastAsia="Malgun Gothic" w:hAnsi="Arial" w:cs="Arial"/>
          <w:b/>
          <w:noProof/>
          <w:sz w:val="24"/>
          <w:szCs w:val="20"/>
          <w:lang w:val="en-GB"/>
        </w:rPr>
        <w:t>2852</w:t>
      </w:r>
    </w:p>
    <w:p w:rsidR="00BD023B" w:rsidRPr="00BD023B" w:rsidRDefault="00BD023B" w:rsidP="00BD023B">
      <w:pPr>
        <w:spacing w:after="120" w:line="240" w:lineRule="auto"/>
        <w:outlineLvl w:val="0"/>
        <w:rPr>
          <w:rFonts w:ascii="Arial" w:eastAsia="Malgun Gothic" w:hAnsi="Arial" w:cs="Times New Roman"/>
          <w:b/>
          <w:noProof/>
          <w:sz w:val="24"/>
          <w:szCs w:val="20"/>
          <w:lang w:val="en-GB"/>
        </w:rPr>
      </w:pPr>
      <w:bookmarkStart w:id="0" w:name="_Hlk91755148"/>
      <w:bookmarkStart w:id="1" w:name="_Hlk92114058"/>
      <w:r w:rsidRPr="00BD023B">
        <w:rPr>
          <w:rFonts w:ascii="Arial" w:eastAsia="Malgun Gothic" w:hAnsi="Arial" w:cs="Arial"/>
          <w:b/>
          <w:bCs/>
          <w:sz w:val="24"/>
          <w:szCs w:val="20"/>
          <w:lang w:val="en-GB" w:eastAsia="ko-KR"/>
        </w:rPr>
        <w:t>Feb</w:t>
      </w:r>
      <w:r w:rsidRPr="00BD023B">
        <w:rPr>
          <w:rFonts w:ascii="Arial" w:eastAsia="Malgun Gothic" w:hAnsi="Arial" w:cs="Arial"/>
          <w:b/>
          <w:bCs/>
          <w:sz w:val="24"/>
          <w:szCs w:val="20"/>
          <w:lang w:val="en-GB"/>
        </w:rPr>
        <w:t xml:space="preserve"> 26</w:t>
      </w:r>
      <w:r w:rsidRPr="00BD023B">
        <w:rPr>
          <w:rFonts w:ascii="Arial" w:eastAsia="Malgun Gothic" w:hAnsi="Arial" w:cs="Arial"/>
          <w:b/>
          <w:bCs/>
          <w:sz w:val="24"/>
          <w:szCs w:val="20"/>
          <w:vertAlign w:val="superscript"/>
          <w:lang w:val="en-GB"/>
        </w:rPr>
        <w:t>th</w:t>
      </w:r>
      <w:r w:rsidRPr="00BD023B">
        <w:rPr>
          <w:rFonts w:ascii="Arial" w:eastAsia="Malgun Gothic" w:hAnsi="Arial" w:cs="Arial"/>
          <w:b/>
          <w:bCs/>
          <w:sz w:val="24"/>
          <w:szCs w:val="20"/>
          <w:lang w:val="en-GB"/>
        </w:rPr>
        <w:t xml:space="preserve"> – Mar 2</w:t>
      </w:r>
      <w:bookmarkEnd w:id="0"/>
      <w:r w:rsidRPr="00BD023B">
        <w:rPr>
          <w:rFonts w:ascii="Arial" w:eastAsia="Malgun Gothic" w:hAnsi="Arial" w:cs="Arial"/>
          <w:b/>
          <w:bCs/>
          <w:sz w:val="24"/>
          <w:szCs w:val="20"/>
          <w:vertAlign w:val="superscript"/>
          <w:lang w:val="en-GB"/>
        </w:rPr>
        <w:t>nd</w:t>
      </w:r>
      <w:r w:rsidRPr="00BD023B">
        <w:rPr>
          <w:rFonts w:ascii="Arial" w:eastAsia="Malgun Gothic" w:hAnsi="Arial" w:cs="Arial"/>
          <w:b/>
          <w:bCs/>
          <w:sz w:val="24"/>
          <w:szCs w:val="20"/>
          <w:lang w:val="en-GB"/>
        </w:rPr>
        <w:t>, 2024</w:t>
      </w:r>
      <w:r w:rsidRPr="00BD023B">
        <w:rPr>
          <w:rFonts w:ascii="Arial" w:eastAsia="Malgun Gothic" w:hAnsi="Arial" w:cs="Times New Roman"/>
          <w:b/>
          <w:noProof/>
          <w:sz w:val="24"/>
          <w:szCs w:val="20"/>
          <w:lang w:val="en-GB"/>
        </w:rPr>
        <w:t xml:space="preserve">; </w:t>
      </w:r>
      <w:bookmarkEnd w:id="1"/>
      <w:r w:rsidRPr="00BD023B">
        <w:rPr>
          <w:rFonts w:ascii="Arial" w:eastAsia="Malgun Gothic" w:hAnsi="Arial" w:cs="Times New Roman"/>
          <w:b/>
          <w:noProof/>
          <w:sz w:val="24"/>
          <w:szCs w:val="20"/>
          <w:lang w:val="en-GB"/>
        </w:rPr>
        <w:t>Athens</w:t>
      </w:r>
      <w:r w:rsidRPr="00BD023B">
        <w:rPr>
          <w:rFonts w:ascii="Arial" w:eastAsia="Malgun Gothic" w:hAnsi="Arial" w:cs="Arial"/>
          <w:b/>
          <w:noProof/>
          <w:color w:val="3333FF"/>
          <w:sz w:val="24"/>
          <w:szCs w:val="20"/>
          <w:lang w:val="en-GB"/>
        </w:rPr>
        <w:t xml:space="preserve">            </w:t>
      </w:r>
      <w:r w:rsidRPr="00BD023B">
        <w:rPr>
          <w:rFonts w:ascii="Arial" w:eastAsia="Malgun Gothic" w:hAnsi="Arial" w:cs="Arial"/>
          <w:b/>
          <w:noProof/>
          <w:color w:val="3333FF"/>
          <w:sz w:val="24"/>
          <w:szCs w:val="20"/>
          <w:lang w:val="en-GB"/>
        </w:rPr>
        <w:tab/>
      </w:r>
      <w:r w:rsidRPr="00BD023B">
        <w:rPr>
          <w:rFonts w:ascii="Arial" w:eastAsia="Malgun Gothic" w:hAnsi="Arial" w:cs="Arial"/>
          <w:b/>
          <w:noProof/>
          <w:color w:val="3333FF"/>
          <w:sz w:val="24"/>
          <w:szCs w:val="20"/>
          <w:lang w:val="en-GB"/>
        </w:rPr>
        <w:tab/>
        <w:t xml:space="preserve">    </w:t>
      </w:r>
    </w:p>
    <w:p w:rsidR="00BD023B" w:rsidRPr="00BD023B" w:rsidRDefault="00BD023B" w:rsidP="00BD023B">
      <w:pPr>
        <w:pBdr>
          <w:bottom w:val="single" w:sz="4" w:space="1" w:color="auto"/>
        </w:pBdr>
        <w:tabs>
          <w:tab w:val="right" w:pos="9781"/>
        </w:tabs>
        <w:overflowPunct w:val="0"/>
        <w:autoSpaceDE w:val="0"/>
        <w:autoSpaceDN w:val="0"/>
        <w:adjustRightInd w:val="0"/>
        <w:spacing w:after="180" w:line="240" w:lineRule="auto"/>
        <w:textAlignment w:val="baseline"/>
        <w:rPr>
          <w:rFonts w:ascii="Arial" w:eastAsia="Malgun Gothic" w:hAnsi="Arial" w:cs="Arial"/>
          <w:b/>
          <w:noProof/>
          <w:color w:val="000000"/>
          <w:sz w:val="12"/>
          <w:szCs w:val="12"/>
          <w:lang w:val="en-GB" w:eastAsia="ja-JP"/>
        </w:rPr>
      </w:pPr>
      <w:r w:rsidRPr="00BD023B">
        <w:rPr>
          <w:rFonts w:ascii="Arial" w:eastAsia="Malgun Gothic" w:hAnsi="Arial" w:cs="Arial"/>
          <w:b/>
          <w:noProof/>
          <w:color w:val="0000FF"/>
          <w:sz w:val="12"/>
          <w:szCs w:val="12"/>
          <w:lang w:val="en-GB" w:eastAsia="ja-JP"/>
        </w:rPr>
        <w:tab/>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BD023B">
        <w:rPr>
          <w:rFonts w:ascii="Arial" w:eastAsia="Malgun Gothic" w:hAnsi="Arial" w:cs="Arial"/>
          <w:b/>
          <w:color w:val="000000"/>
          <w:sz w:val="20"/>
          <w:szCs w:val="20"/>
          <w:lang w:val="en-GB" w:eastAsia="ja-JP"/>
        </w:rPr>
        <w:t xml:space="preserve">Source: </w:t>
      </w:r>
      <w:r w:rsidRPr="00BD023B">
        <w:rPr>
          <w:rFonts w:ascii="Arial" w:eastAsia="Malgun Gothic" w:hAnsi="Arial" w:cs="Arial"/>
          <w:b/>
          <w:color w:val="000000"/>
          <w:sz w:val="20"/>
          <w:szCs w:val="20"/>
          <w:lang w:val="en-GB" w:eastAsia="ja-JP"/>
        </w:rPr>
        <w:tab/>
        <w:t>Samsung</w:t>
      </w:r>
    </w:p>
    <w:p w:rsid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ko-KR"/>
        </w:rPr>
      </w:pPr>
      <w:r w:rsidRPr="00BD023B">
        <w:rPr>
          <w:rFonts w:ascii="Arial" w:eastAsia="Malgun Gothic" w:hAnsi="Arial" w:cs="Arial"/>
          <w:b/>
          <w:color w:val="000000"/>
          <w:sz w:val="20"/>
          <w:szCs w:val="20"/>
          <w:lang w:val="en-GB" w:eastAsia="ja-JP"/>
        </w:rPr>
        <w:t xml:space="preserve">Title: </w:t>
      </w:r>
      <w:r w:rsidRPr="00BD023B">
        <w:rPr>
          <w:rFonts w:ascii="Arial" w:eastAsia="Malgun Gothic" w:hAnsi="Arial" w:cs="Arial"/>
          <w:b/>
          <w:color w:val="000000"/>
          <w:sz w:val="20"/>
          <w:szCs w:val="20"/>
          <w:lang w:val="en-GB" w:eastAsia="ja-JP"/>
        </w:rPr>
        <w:tab/>
      </w:r>
      <w:r w:rsidR="001A02E7" w:rsidRPr="001A02E7">
        <w:rPr>
          <w:rFonts w:ascii="Arial" w:eastAsia="Malgun Gothic" w:hAnsi="Arial" w:cs="Arial"/>
          <w:b/>
          <w:color w:val="000000"/>
          <w:sz w:val="20"/>
          <w:szCs w:val="20"/>
          <w:lang w:val="en-GB" w:eastAsia="ko-KR"/>
        </w:rPr>
        <w:t>KI#2, New Sol: Direct discovery of UPF via AF</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Pr>
          <w:rFonts w:ascii="Arial" w:eastAsia="Malgun Gothic" w:hAnsi="Arial" w:cs="Arial"/>
          <w:b/>
          <w:color w:val="000000"/>
          <w:sz w:val="20"/>
          <w:szCs w:val="20"/>
          <w:lang w:val="en-GB" w:eastAsia="ko-KR"/>
        </w:rPr>
        <w:t>Document for:</w:t>
      </w:r>
      <w:r>
        <w:rPr>
          <w:rFonts w:ascii="Arial" w:eastAsia="Malgun Gothic" w:hAnsi="Arial" w:cs="Arial"/>
          <w:b/>
          <w:color w:val="000000"/>
          <w:sz w:val="20"/>
          <w:szCs w:val="20"/>
          <w:lang w:val="en-GB" w:eastAsia="ko-KR"/>
        </w:rPr>
        <w:tab/>
        <w:t>Approval</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BD023B">
        <w:rPr>
          <w:rFonts w:ascii="Arial" w:eastAsia="Malgun Gothic" w:hAnsi="Arial" w:cs="Arial"/>
          <w:b/>
          <w:color w:val="000000"/>
          <w:sz w:val="20"/>
          <w:szCs w:val="20"/>
          <w:lang w:val="en-GB" w:eastAsia="ja-JP"/>
        </w:rPr>
        <w:t xml:space="preserve">Agenda Item: </w:t>
      </w:r>
      <w:r w:rsidRPr="00BD023B">
        <w:rPr>
          <w:rFonts w:ascii="Arial" w:eastAsia="Malgun Gothic" w:hAnsi="Arial" w:cs="Arial"/>
          <w:b/>
          <w:color w:val="000000"/>
          <w:sz w:val="20"/>
          <w:szCs w:val="20"/>
          <w:lang w:val="en-GB" w:eastAsia="ja-JP"/>
        </w:rPr>
        <w:tab/>
        <w:t>19.11</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BD023B">
        <w:rPr>
          <w:rFonts w:ascii="Arial" w:eastAsia="Malgun Gothic" w:hAnsi="Arial" w:cs="Arial"/>
          <w:b/>
          <w:color w:val="000000"/>
          <w:sz w:val="20"/>
          <w:szCs w:val="20"/>
          <w:lang w:val="en-GB" w:eastAsia="ja-JP"/>
        </w:rPr>
        <w:t>Work Item / Release:</w:t>
      </w:r>
      <w:r w:rsidRPr="00BD023B">
        <w:rPr>
          <w:rFonts w:ascii="Arial" w:eastAsia="Malgun Gothic" w:hAnsi="Arial" w:cs="Arial"/>
          <w:b/>
          <w:color w:val="000000"/>
          <w:sz w:val="20"/>
          <w:szCs w:val="20"/>
          <w:lang w:val="en-GB" w:eastAsia="ja-JP"/>
        </w:rPr>
        <w:tab/>
      </w:r>
      <w:bookmarkStart w:id="2" w:name="_Hlk91784932"/>
      <w:r w:rsidRPr="00BD023B">
        <w:rPr>
          <w:rFonts w:ascii="Arial" w:eastAsia="Malgun Gothic" w:hAnsi="Arial" w:cs="Arial"/>
          <w:b/>
          <w:color w:val="000000"/>
          <w:sz w:val="20"/>
          <w:szCs w:val="20"/>
          <w:lang w:val="en-GB" w:eastAsia="ja-JP"/>
        </w:rPr>
        <w:t xml:space="preserve">FS_UPEAS_Ph2 </w:t>
      </w:r>
      <w:bookmarkEnd w:id="2"/>
      <w:r w:rsidRPr="00BD023B">
        <w:rPr>
          <w:rFonts w:ascii="Arial" w:eastAsia="Malgun Gothic" w:hAnsi="Arial" w:cs="Arial"/>
          <w:b/>
          <w:color w:val="000000"/>
          <w:sz w:val="20"/>
          <w:szCs w:val="20"/>
          <w:lang w:val="en-GB" w:eastAsia="ja-JP"/>
        </w:rPr>
        <w:t>/ Rel-19</w:t>
      </w:r>
    </w:p>
    <w:p w:rsidR="00BD023B" w:rsidRPr="00BD023B" w:rsidRDefault="00BD023B" w:rsidP="00BD023B">
      <w:pPr>
        <w:overflowPunct w:val="0"/>
        <w:autoSpaceDE w:val="0"/>
        <w:autoSpaceDN w:val="0"/>
        <w:adjustRightInd w:val="0"/>
        <w:spacing w:after="180" w:line="240" w:lineRule="auto"/>
        <w:textAlignment w:val="baseline"/>
        <w:rPr>
          <w:rFonts w:ascii="Arial" w:eastAsia="Malgun Gothic" w:hAnsi="Arial" w:cs="Arial"/>
          <w:i/>
          <w:color w:val="000000"/>
          <w:sz w:val="20"/>
          <w:szCs w:val="20"/>
          <w:lang w:val="en-GB" w:eastAsia="ja-JP"/>
        </w:rPr>
      </w:pPr>
      <w:r w:rsidRPr="00BD023B">
        <w:rPr>
          <w:rFonts w:ascii="Arial" w:eastAsia="Malgun Gothic" w:hAnsi="Arial" w:cs="Arial"/>
          <w:i/>
          <w:color w:val="000000"/>
          <w:sz w:val="20"/>
          <w:szCs w:val="20"/>
          <w:lang w:val="en-GB" w:eastAsia="ja-JP"/>
        </w:rPr>
        <w:t>Abstract of the contribution: This cont</w:t>
      </w:r>
      <w:r>
        <w:rPr>
          <w:rFonts w:ascii="Arial" w:eastAsia="Malgun Gothic" w:hAnsi="Arial" w:cs="Arial"/>
          <w:i/>
          <w:color w:val="000000"/>
          <w:sz w:val="20"/>
          <w:szCs w:val="20"/>
          <w:lang w:val="en-GB" w:eastAsia="ja-JP"/>
        </w:rPr>
        <w:t>ributio</w:t>
      </w:r>
      <w:r w:rsidR="0038325F">
        <w:rPr>
          <w:rFonts w:ascii="Arial" w:eastAsia="Malgun Gothic" w:hAnsi="Arial" w:cs="Arial"/>
          <w:i/>
          <w:color w:val="000000"/>
          <w:sz w:val="20"/>
          <w:szCs w:val="20"/>
          <w:lang w:val="en-GB" w:eastAsia="ja-JP"/>
        </w:rPr>
        <w:t>n proposes new solution for KI#2</w:t>
      </w:r>
      <w:r w:rsidR="00B16528">
        <w:rPr>
          <w:rFonts w:ascii="Arial" w:eastAsia="Malgun Gothic" w:hAnsi="Arial" w:cs="Arial"/>
          <w:i/>
          <w:color w:val="000000"/>
          <w:sz w:val="20"/>
          <w:szCs w:val="20"/>
          <w:lang w:val="en-GB" w:eastAsia="ja-JP"/>
        </w:rPr>
        <w:t>.</w:t>
      </w: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BD023B">
        <w:rPr>
          <w:rFonts w:ascii="Arial" w:eastAsia="Malgun Gothic" w:hAnsi="Arial" w:cs="Times New Roman"/>
          <w:sz w:val="36"/>
          <w:szCs w:val="20"/>
          <w:lang w:val="en-GB" w:eastAsia="ja-JP"/>
        </w:rPr>
        <w:t>1</w:t>
      </w:r>
      <w:r w:rsidRPr="00BD023B">
        <w:rPr>
          <w:rFonts w:ascii="Arial" w:eastAsia="Malgun Gothic" w:hAnsi="Arial" w:cs="Times New Roman"/>
          <w:sz w:val="36"/>
          <w:szCs w:val="20"/>
          <w:lang w:val="en-GB" w:eastAsia="ja-JP"/>
        </w:rPr>
        <w:tab/>
        <w:t>Discussion</w:t>
      </w:r>
    </w:p>
    <w:p w:rsidR="00BD023B" w:rsidRPr="00BD023B" w:rsidRDefault="004B436A" w:rsidP="00BD023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r>
        <w:rPr>
          <w:rFonts w:ascii="Times New Roman" w:eastAsia="Malgun Gothic" w:hAnsi="Times New Roman" w:cs="Times New Roman"/>
          <w:color w:val="000000"/>
          <w:sz w:val="20"/>
          <w:szCs w:val="20"/>
          <w:lang w:val="en-GB" w:eastAsia="ko-KR"/>
        </w:rPr>
        <w:t xml:space="preserve">As per </w:t>
      </w:r>
      <w:r w:rsidR="00DC2957">
        <w:rPr>
          <w:rFonts w:ascii="Times New Roman" w:eastAsia="Malgun Gothic" w:hAnsi="Times New Roman" w:cs="Times New Roman"/>
          <w:color w:val="000000"/>
          <w:sz w:val="20"/>
          <w:szCs w:val="20"/>
          <w:lang w:val="en-GB" w:eastAsia="ko-KR"/>
        </w:rPr>
        <w:t>KI#2</w:t>
      </w:r>
      <w:r>
        <w:rPr>
          <w:rFonts w:ascii="Times New Roman" w:eastAsia="Malgun Gothic" w:hAnsi="Times New Roman" w:cs="Times New Roman"/>
          <w:color w:val="000000"/>
          <w:sz w:val="20"/>
          <w:szCs w:val="20"/>
          <w:lang w:val="en-GB" w:eastAsia="ko-KR"/>
        </w:rPr>
        <w:t xml:space="preserve"> description</w:t>
      </w:r>
      <w:r w:rsidR="00BD023B" w:rsidRPr="00BD023B">
        <w:rPr>
          <w:rFonts w:ascii="Times New Roman" w:eastAsia="Malgun Gothic" w:hAnsi="Times New Roman" w:cs="Times New Roman"/>
          <w:color w:val="000000"/>
          <w:sz w:val="20"/>
          <w:szCs w:val="20"/>
          <w:lang w:val="en-GB" w:eastAsia="ko-KR"/>
        </w:rPr>
        <w:t xml:space="preserve"> specifi</w:t>
      </w:r>
      <w:r>
        <w:rPr>
          <w:rFonts w:ascii="Times New Roman" w:eastAsia="Malgun Gothic" w:hAnsi="Times New Roman" w:cs="Times New Roman"/>
          <w:color w:val="000000"/>
          <w:sz w:val="20"/>
          <w:szCs w:val="20"/>
          <w:lang w:val="en-GB" w:eastAsia="ko-KR"/>
        </w:rPr>
        <w:t xml:space="preserve">ed in TS 23.700-63 </w:t>
      </w:r>
      <w:r w:rsidR="003360B9">
        <w:rPr>
          <w:rFonts w:ascii="Times New Roman" w:eastAsia="Malgun Gothic" w:hAnsi="Times New Roman" w:cs="Times New Roman"/>
          <w:color w:val="000000"/>
          <w:sz w:val="20"/>
          <w:szCs w:val="20"/>
          <w:lang w:val="en-GB" w:eastAsia="ko-KR"/>
        </w:rPr>
        <w:t>following</w:t>
      </w:r>
      <w:r>
        <w:rPr>
          <w:rFonts w:ascii="Times New Roman" w:eastAsia="Malgun Gothic" w:hAnsi="Times New Roman" w:cs="Times New Roman"/>
          <w:color w:val="000000"/>
          <w:sz w:val="20"/>
          <w:szCs w:val="20"/>
          <w:lang w:val="en-GB" w:eastAsia="ko-KR"/>
        </w:rPr>
        <w:t xml:space="preserve"> aspects need to be </w:t>
      </w:r>
      <w:r w:rsidR="003360B9">
        <w:rPr>
          <w:rFonts w:ascii="Times New Roman" w:eastAsia="Malgun Gothic" w:hAnsi="Times New Roman" w:cs="Times New Roman"/>
          <w:color w:val="000000"/>
          <w:sz w:val="20"/>
          <w:szCs w:val="20"/>
          <w:lang w:val="en-GB" w:eastAsia="ko-KR"/>
        </w:rPr>
        <w:t>studied:</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Identify the specific use case and scenarios that require optimizing the procedures related to UPF data collection with enhancements on UPF direct or indirect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Whether and how the consumer NF can directly or indirectly contact the UPF for its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How to authorize the consumer NF for directly subscribing to UPF event exposure service(s), and how to update/release the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How to support the UPF relocation when some NFs have subscribed the direct or indirect subscription of UPF information;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Which Event ID(s) can be subscribed/requested directly or indirectly to the UPF exposure service;</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Whether there are use cases that require other enhancements on UPF exposure services.</w:t>
      </w:r>
    </w:p>
    <w:p w:rsidR="00BD023B" w:rsidRPr="003360B9" w:rsidRDefault="00BD023B" w:rsidP="00B1652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BD023B">
        <w:rPr>
          <w:rFonts w:ascii="Arial" w:eastAsia="Malgun Gothic" w:hAnsi="Arial" w:cs="Times New Roman"/>
          <w:sz w:val="36"/>
          <w:szCs w:val="20"/>
          <w:lang w:val="en-GB" w:eastAsia="ja-JP"/>
        </w:rPr>
        <w:t xml:space="preserve">2 </w:t>
      </w:r>
      <w:r w:rsidRPr="00BD023B">
        <w:rPr>
          <w:rFonts w:ascii="Arial" w:eastAsia="Malgun Gothic" w:hAnsi="Arial" w:cs="Times New Roman"/>
          <w:sz w:val="36"/>
          <w:szCs w:val="20"/>
          <w:lang w:val="en-GB" w:eastAsia="ja-JP"/>
        </w:rPr>
        <w:tab/>
        <w:t>Proposal</w:t>
      </w:r>
      <w:bookmarkStart w:id="3" w:name="_GoBack"/>
      <w:bookmarkEnd w:id="3"/>
    </w:p>
    <w:p w:rsidR="00BD023B" w:rsidRPr="00BD023B" w:rsidRDefault="00BD023B" w:rsidP="00BD023B">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bookmarkStart w:id="4" w:name="_Hlk513714389"/>
      <w:bookmarkStart w:id="5" w:name="_Hlk91782779"/>
      <w:r w:rsidRPr="00BD023B">
        <w:rPr>
          <w:rFonts w:ascii="Times New Roman" w:eastAsia="SimSun" w:hAnsi="Times New Roman" w:cs="Times New Roman"/>
          <w:color w:val="000000"/>
          <w:sz w:val="20"/>
          <w:szCs w:val="20"/>
          <w:lang w:val="en-GB" w:eastAsia="zh-CN"/>
        </w:rPr>
        <w:t>It is proposed to adopt the following changes to TR 23.700-63.</w:t>
      </w:r>
    </w:p>
    <w:bookmarkEnd w:id="4"/>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BD023B">
        <w:rPr>
          <w:rFonts w:ascii="Times New Roman" w:eastAsia="Malgun Gothic" w:hAnsi="Times New Roman" w:cs="Times New Roman"/>
          <w:b/>
          <w:color w:val="FF0000"/>
          <w:sz w:val="28"/>
          <w:szCs w:val="36"/>
          <w:lang w:val="en-GB" w:eastAsia="ko-KR"/>
        </w:rPr>
        <w:t>*** Start of the change***</w:t>
      </w:r>
    </w:p>
    <w:p w:rsidR="00BD023B" w:rsidRPr="00BD023B" w:rsidRDefault="00BD023B" w:rsidP="00BD023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GB" w:eastAsia="zh-CN"/>
        </w:rPr>
      </w:pPr>
      <w:bookmarkStart w:id="6" w:name="_Toc500949097"/>
      <w:bookmarkStart w:id="7" w:name="_Toc92875660"/>
      <w:bookmarkStart w:id="8" w:name="_Toc93070684"/>
      <w:bookmarkStart w:id="9" w:name="_Toc157447963"/>
      <w:bookmarkStart w:id="10" w:name="_Toc157448170"/>
      <w:bookmarkEnd w:id="5"/>
      <w:r w:rsidRPr="00BD023B">
        <w:rPr>
          <w:rFonts w:ascii="Arial" w:eastAsia="Malgun Gothic" w:hAnsi="Arial" w:cs="Times New Roman"/>
          <w:sz w:val="32"/>
          <w:szCs w:val="20"/>
          <w:lang w:val="en-GB" w:eastAsia="zh-CN"/>
        </w:rPr>
        <w:t>6.0</w:t>
      </w:r>
      <w:r w:rsidRPr="00BD023B">
        <w:rPr>
          <w:rFonts w:ascii="Arial" w:eastAsia="Malgun Gothic" w:hAnsi="Arial" w:cs="Times New Roman"/>
          <w:sz w:val="32"/>
          <w:szCs w:val="20"/>
          <w:lang w:val="en-GB" w:eastAsia="zh-CN"/>
        </w:rPr>
        <w:tab/>
        <w:t>Mapping of Solutions to Key Issues</w:t>
      </w:r>
    </w:p>
    <w:p w:rsidR="00BD023B" w:rsidRPr="00BD023B" w:rsidRDefault="00BD023B" w:rsidP="00BD023B">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color w:val="000000"/>
          <w:sz w:val="20"/>
          <w:szCs w:val="20"/>
          <w:lang w:val="en-GB" w:eastAsia="ja-JP"/>
        </w:rPr>
      </w:pPr>
      <w:r w:rsidRPr="00BD023B">
        <w:rPr>
          <w:rFonts w:ascii="Arial" w:eastAsia="Malgun Gothic" w:hAnsi="Arial" w:cs="Times New Roman"/>
          <w:b/>
          <w:color w:val="000000"/>
          <w:sz w:val="20"/>
          <w:szCs w:val="20"/>
          <w:lang w:val="en-GB"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D023B" w:rsidRPr="00BD023B" w:rsidTr="008A6C31">
        <w:tc>
          <w:tcPr>
            <w:tcW w:w="103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5555" w:type="dxa"/>
            <w:gridSpan w:val="4"/>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r w:rsidRPr="00BD023B">
              <w:rPr>
                <w:rFonts w:ascii="Arial" w:eastAsia="Malgun Gothic" w:hAnsi="Arial" w:cs="Times New Roman"/>
                <w:b/>
                <w:color w:val="000000"/>
                <w:sz w:val="18"/>
                <w:szCs w:val="20"/>
                <w:lang w:val="en-GB" w:eastAsia="ja-JP"/>
              </w:rPr>
              <w:t>Key Issues</w:t>
            </w:r>
          </w:p>
        </w:tc>
      </w:tr>
      <w:tr w:rsidR="00BD023B" w:rsidRPr="00BD023B" w:rsidTr="008A6C31">
        <w:tc>
          <w:tcPr>
            <w:tcW w:w="103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r w:rsidRPr="00BD023B">
              <w:rPr>
                <w:rFonts w:ascii="Arial" w:eastAsia="Malgun Gothic" w:hAnsi="Arial" w:cs="Times New Roman"/>
                <w:b/>
                <w:color w:val="000000"/>
                <w:sz w:val="18"/>
                <w:szCs w:val="20"/>
                <w:lang w:val="en-GB" w:eastAsia="ja-JP"/>
              </w:rPr>
              <w:t>Solutions</w:t>
            </w:r>
          </w:p>
        </w:tc>
        <w:tc>
          <w:tcPr>
            <w:tcW w:w="138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ins w:id="11" w:author="Author">
              <w:r>
                <w:rPr>
                  <w:rFonts w:ascii="Arial" w:eastAsia="Malgun Gothic" w:hAnsi="Arial" w:cs="Times New Roman"/>
                  <w:b/>
                  <w:color w:val="000000"/>
                  <w:sz w:val="18"/>
                  <w:szCs w:val="20"/>
                  <w:lang w:val="en-GB" w:eastAsia="ja-JP"/>
                </w:rPr>
                <w:t>#2</w:t>
              </w:r>
            </w:ins>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p>
        </w:tc>
      </w:tr>
      <w:tr w:rsidR="00BD023B" w:rsidRPr="00BD023B" w:rsidTr="008A6C31">
        <w:tc>
          <w:tcPr>
            <w:tcW w:w="103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r w:rsidRPr="00BD023B">
              <w:rPr>
                <w:rFonts w:ascii="Arial" w:eastAsia="Malgun Gothic" w:hAnsi="Arial" w:cs="Times New Roman"/>
                <w:b/>
                <w:color w:val="000000"/>
                <w:sz w:val="18"/>
                <w:szCs w:val="20"/>
                <w:lang w:val="en-GB" w:eastAsia="ja-JP"/>
              </w:rPr>
              <w:t>x</w:t>
            </w:r>
          </w:p>
        </w:tc>
        <w:tc>
          <w:tcPr>
            <w:tcW w:w="138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ins w:id="12" w:author="Author">
              <w:r>
                <w:rPr>
                  <w:rFonts w:ascii="Arial" w:eastAsia="Malgun Gothic" w:hAnsi="Arial" w:cs="Times New Roman"/>
                  <w:color w:val="000000"/>
                  <w:sz w:val="18"/>
                  <w:szCs w:val="20"/>
                  <w:lang w:val="en-GB" w:eastAsia="ja-JP"/>
                </w:rPr>
                <w:t>x</w:t>
              </w:r>
            </w:ins>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r>
      <w:tr w:rsidR="00BD023B" w:rsidRPr="00BD023B" w:rsidTr="008A6C31">
        <w:tc>
          <w:tcPr>
            <w:tcW w:w="103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r>
      <w:tr w:rsidR="00BD023B" w:rsidRPr="00BD023B" w:rsidTr="008A6C31">
        <w:tc>
          <w:tcPr>
            <w:tcW w:w="103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r>
      <w:tr w:rsidR="00BD023B" w:rsidRPr="00BD023B" w:rsidTr="008A6C31">
        <w:tc>
          <w:tcPr>
            <w:tcW w:w="103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r>
      <w:tr w:rsidR="00BD023B" w:rsidRPr="00BD023B" w:rsidTr="008A6C31">
        <w:tc>
          <w:tcPr>
            <w:tcW w:w="103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b/>
                <w:color w:val="000000"/>
                <w:sz w:val="18"/>
                <w:szCs w:val="20"/>
                <w:lang w:val="en-GB" w:eastAsia="ja-JP"/>
              </w:rPr>
            </w:pPr>
          </w:p>
        </w:tc>
        <w:tc>
          <w:tcPr>
            <w:tcW w:w="1388"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c>
          <w:tcPr>
            <w:tcW w:w="1389" w:type="dxa"/>
            <w:shd w:val="clear" w:color="auto" w:fill="auto"/>
          </w:tcPr>
          <w:p w:rsidR="00BD023B" w:rsidRPr="00BD023B" w:rsidRDefault="00BD023B" w:rsidP="00BD023B">
            <w:pPr>
              <w:keepNext/>
              <w:keepLines/>
              <w:overflowPunct w:val="0"/>
              <w:autoSpaceDE w:val="0"/>
              <w:autoSpaceDN w:val="0"/>
              <w:adjustRightInd w:val="0"/>
              <w:spacing w:after="0" w:line="240" w:lineRule="auto"/>
              <w:jc w:val="center"/>
              <w:textAlignment w:val="baseline"/>
              <w:rPr>
                <w:rFonts w:ascii="Arial" w:eastAsia="Malgun Gothic" w:hAnsi="Arial" w:cs="Times New Roman"/>
                <w:color w:val="000000"/>
                <w:sz w:val="18"/>
                <w:szCs w:val="20"/>
                <w:lang w:val="en-GB" w:eastAsia="ja-JP"/>
              </w:rPr>
            </w:pPr>
          </w:p>
        </w:tc>
      </w:tr>
    </w:tbl>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color w:val="000000"/>
          <w:sz w:val="20"/>
          <w:szCs w:val="20"/>
          <w:lang w:val="en-GB" w:eastAsia="ja-JP"/>
        </w:rPr>
      </w:pPr>
      <w:r w:rsidRPr="00BD023B">
        <w:rPr>
          <w:rFonts w:ascii="Times New Roman" w:eastAsia="Malgun Gothic" w:hAnsi="Times New Roman" w:cs="Times New Roman"/>
          <w:b/>
          <w:color w:val="FF0000"/>
          <w:sz w:val="28"/>
          <w:szCs w:val="36"/>
          <w:lang w:val="en-GB" w:eastAsia="ko-KR"/>
        </w:rPr>
        <w:t>*** Next change (all new text) ***</w:t>
      </w:r>
    </w:p>
    <w:p w:rsidR="00BD023B" w:rsidRPr="00BD023B" w:rsidRDefault="00BD023B" w:rsidP="00BD023B">
      <w:pPr>
        <w:keepNext/>
        <w:keepLines/>
        <w:spacing w:before="180" w:after="180" w:line="240" w:lineRule="auto"/>
        <w:ind w:left="1134" w:hanging="1134"/>
        <w:outlineLvl w:val="1"/>
        <w:rPr>
          <w:rFonts w:ascii="Arial" w:eastAsia="DengXian" w:hAnsi="Arial" w:cs="Times New Roman"/>
          <w:sz w:val="32"/>
          <w:szCs w:val="20"/>
          <w:lang w:val="en-GB"/>
        </w:rPr>
      </w:pPr>
      <w:r w:rsidRPr="00BD023B">
        <w:rPr>
          <w:rFonts w:ascii="Arial" w:eastAsia="DengXian" w:hAnsi="Arial" w:cs="Times New Roman"/>
          <w:sz w:val="32"/>
          <w:szCs w:val="20"/>
          <w:lang w:val="en-GB" w:eastAsia="zh-CN"/>
        </w:rPr>
        <w:lastRenderedPageBreak/>
        <w:t>6.</w:t>
      </w:r>
      <w:r w:rsidRPr="00BD023B">
        <w:rPr>
          <w:rFonts w:ascii="Arial" w:eastAsia="DengXian" w:hAnsi="Arial" w:cs="Times New Roman" w:hint="eastAsia"/>
          <w:sz w:val="32"/>
          <w:szCs w:val="20"/>
          <w:lang w:val="en-GB" w:eastAsia="zh-CN"/>
        </w:rPr>
        <w:t>X</w:t>
      </w:r>
      <w:r w:rsidRPr="00BD023B">
        <w:rPr>
          <w:rFonts w:ascii="Arial" w:eastAsia="DengXian" w:hAnsi="Arial" w:cs="Times New Roman" w:hint="eastAsia"/>
          <w:sz w:val="32"/>
          <w:szCs w:val="20"/>
          <w:lang w:val="en-GB" w:eastAsia="ko-KR"/>
        </w:rPr>
        <w:tab/>
      </w:r>
      <w:r w:rsidRPr="00BD023B">
        <w:rPr>
          <w:rFonts w:ascii="Arial" w:eastAsia="DengXian" w:hAnsi="Arial" w:cs="Times New Roman"/>
          <w:sz w:val="32"/>
          <w:szCs w:val="20"/>
          <w:lang w:val="en-GB"/>
        </w:rPr>
        <w:t>Solution</w:t>
      </w:r>
      <w:r w:rsidRPr="00BD023B">
        <w:rPr>
          <w:rFonts w:ascii="Arial" w:eastAsia="DengXian" w:hAnsi="Arial" w:cs="Times New Roman" w:hint="eastAsia"/>
          <w:sz w:val="32"/>
          <w:szCs w:val="20"/>
          <w:lang w:val="en-GB" w:eastAsia="zh-CN"/>
        </w:rPr>
        <w:t xml:space="preserve"> #</w:t>
      </w:r>
      <w:r w:rsidRPr="00BD023B">
        <w:rPr>
          <w:rFonts w:ascii="Arial" w:eastAsia="DengXian" w:hAnsi="Arial" w:cs="Times New Roman"/>
          <w:sz w:val="32"/>
          <w:szCs w:val="20"/>
          <w:lang w:val="en-GB" w:eastAsia="zh-CN"/>
        </w:rPr>
        <w:t>X</w:t>
      </w:r>
      <w:r w:rsidRPr="00BD023B">
        <w:rPr>
          <w:rFonts w:ascii="Arial" w:eastAsia="DengXian" w:hAnsi="Arial" w:cs="Times New Roman"/>
          <w:sz w:val="32"/>
          <w:szCs w:val="20"/>
          <w:lang w:val="en-GB"/>
        </w:rPr>
        <w:t xml:space="preserve">: </w:t>
      </w:r>
      <w:bookmarkEnd w:id="6"/>
      <w:bookmarkEnd w:id="7"/>
      <w:bookmarkEnd w:id="8"/>
      <w:bookmarkEnd w:id="9"/>
      <w:bookmarkEnd w:id="10"/>
      <w:r>
        <w:rPr>
          <w:rFonts w:ascii="Arial" w:eastAsia="DengXian" w:hAnsi="Arial" w:cs="Times New Roman"/>
          <w:sz w:val="32"/>
          <w:szCs w:val="20"/>
          <w:lang w:val="en-GB"/>
        </w:rPr>
        <w:t>Direct UPF Di</w:t>
      </w:r>
      <w:r w:rsidR="00B16528">
        <w:rPr>
          <w:rFonts w:ascii="Arial" w:eastAsia="DengXian" w:hAnsi="Arial" w:cs="Times New Roman"/>
          <w:sz w:val="32"/>
          <w:szCs w:val="20"/>
          <w:lang w:val="en-GB"/>
        </w:rPr>
        <w:t>scovery and Subscription via AF</w:t>
      </w:r>
    </w:p>
    <w:p w:rsidR="00BD023B" w:rsidRP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3" w:name="_Toc500949099"/>
      <w:bookmarkStart w:id="14" w:name="_Toc92875662"/>
      <w:bookmarkStart w:id="15" w:name="_Toc93070686"/>
      <w:bookmarkStart w:id="16" w:name="_Toc157447965"/>
      <w:bookmarkStart w:id="17" w:name="_Toc157448172"/>
      <w:r w:rsidRPr="00BD023B">
        <w:rPr>
          <w:rFonts w:ascii="Arial" w:eastAsia="DengXian" w:hAnsi="Arial" w:cs="Times New Roman"/>
          <w:sz w:val="28"/>
          <w:szCs w:val="20"/>
          <w:lang w:val="en-GB"/>
        </w:rPr>
        <w:t>6.</w:t>
      </w:r>
      <w:r w:rsidRPr="00BD023B">
        <w:rPr>
          <w:rFonts w:ascii="Arial" w:eastAsia="DengXian" w:hAnsi="Arial" w:cs="Times New Roman" w:hint="eastAsia"/>
          <w:sz w:val="28"/>
          <w:szCs w:val="20"/>
          <w:lang w:val="en-GB"/>
        </w:rPr>
        <w:t>X</w:t>
      </w:r>
      <w:r w:rsidRPr="00BD023B">
        <w:rPr>
          <w:rFonts w:ascii="Arial" w:eastAsia="DengXian" w:hAnsi="Arial" w:cs="Times New Roman"/>
          <w:sz w:val="28"/>
          <w:szCs w:val="20"/>
          <w:lang w:val="en-GB"/>
        </w:rPr>
        <w:t>.1</w:t>
      </w:r>
      <w:r w:rsidRPr="00BD023B">
        <w:rPr>
          <w:rFonts w:ascii="Arial" w:eastAsia="DengXian" w:hAnsi="Arial" w:cs="Times New Roman" w:hint="eastAsia"/>
          <w:sz w:val="28"/>
          <w:szCs w:val="20"/>
          <w:lang w:val="en-GB"/>
        </w:rPr>
        <w:tab/>
        <w:t>Description</w:t>
      </w:r>
      <w:bookmarkEnd w:id="13"/>
      <w:bookmarkEnd w:id="14"/>
      <w:bookmarkEnd w:id="15"/>
      <w:bookmarkEnd w:id="16"/>
      <w:bookmarkEnd w:id="17"/>
    </w:p>
    <w:p w:rsidR="00B16528" w:rsidRDefault="001E7535" w:rsidP="001E7535">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bookmarkStart w:id="18" w:name="_Toc500949101"/>
      <w:r>
        <w:rPr>
          <w:rFonts w:ascii="Times New Roman" w:eastAsia="Malgun Gothic" w:hAnsi="Times New Roman" w:cs="Times New Roman"/>
          <w:color w:val="000000"/>
          <w:sz w:val="20"/>
          <w:szCs w:val="20"/>
          <w:lang w:val="en-GB"/>
        </w:rPr>
        <w:t xml:space="preserve">As per current procedures, in case an </w:t>
      </w:r>
      <w:r w:rsidR="000E7BFD">
        <w:rPr>
          <w:rFonts w:ascii="Times New Roman" w:eastAsia="Malgun Gothic" w:hAnsi="Times New Roman" w:cs="Times New Roman"/>
          <w:color w:val="000000"/>
          <w:sz w:val="20"/>
          <w:szCs w:val="20"/>
          <w:lang w:val="en-GB"/>
        </w:rPr>
        <w:t>AF needs to subscribe for UPF event exposu</w:t>
      </w:r>
      <w:r w:rsidR="00E94EA8">
        <w:rPr>
          <w:rFonts w:ascii="Times New Roman" w:eastAsia="Malgun Gothic" w:hAnsi="Times New Roman" w:cs="Times New Roman"/>
          <w:color w:val="000000"/>
          <w:sz w:val="20"/>
          <w:szCs w:val="20"/>
          <w:lang w:val="en-GB"/>
        </w:rPr>
        <w:t>re following is the usual flow</w:t>
      </w:r>
    </w:p>
    <w:p w:rsidR="00E94EA8" w:rsidRDefault="00E94EA8"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Upon receiving the request addressing for a particular IP address, NEF must first find the private IP for the provided Public IP</w:t>
      </w:r>
    </w:p>
    <w:p w:rsidR="00E94EA8" w:rsidRDefault="00E94EA8" w:rsidP="00E94EA8">
      <w:pPr>
        <w:pStyle w:val="ListParagraph"/>
        <w:numPr>
          <w:ilvl w:val="1"/>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To do that</w:t>
      </w:r>
      <w:r w:rsidR="00790FD5">
        <w:rPr>
          <w:rFonts w:ascii="Times New Roman" w:eastAsia="Malgun Gothic" w:hAnsi="Times New Roman" w:cs="Times New Roman"/>
          <w:color w:val="000000"/>
          <w:sz w:val="20"/>
          <w:szCs w:val="20"/>
          <w:lang w:val="en-GB"/>
        </w:rPr>
        <w:t>, NEF has to</w:t>
      </w:r>
      <w:r>
        <w:rPr>
          <w:rFonts w:ascii="Times New Roman" w:eastAsia="Malgun Gothic" w:hAnsi="Times New Roman" w:cs="Times New Roman"/>
          <w:color w:val="000000"/>
          <w:sz w:val="20"/>
          <w:szCs w:val="20"/>
          <w:lang w:val="en-GB"/>
        </w:rPr>
        <w:t xml:space="preserve"> find the corresponding UPF which performed the NAT binding</w:t>
      </w:r>
    </w:p>
    <w:p w:rsidR="00E94EA8"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Request the BSF to find the serving PCF for the particular session</w:t>
      </w:r>
    </w:p>
    <w:p w:rsidR="00790FD5"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NEF sends the request to PCF for QoS monitoring</w:t>
      </w:r>
    </w:p>
    <w:p w:rsidR="00790FD5"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PCF sends the PCC rules to particular SMF</w:t>
      </w:r>
    </w:p>
    <w:p w:rsidR="00790FD5"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SMF then finally updates UP</w:t>
      </w:r>
      <w:r w:rsidR="00CD5291">
        <w:rPr>
          <w:rFonts w:ascii="Times New Roman" w:eastAsia="Malgun Gothic" w:hAnsi="Times New Roman" w:cs="Times New Roman"/>
          <w:color w:val="000000"/>
          <w:sz w:val="20"/>
          <w:szCs w:val="20"/>
          <w:lang w:val="en-GB"/>
        </w:rPr>
        <w:t>F for particular QoS monitoring</w:t>
      </w:r>
    </w:p>
    <w:p w:rsidR="00CD5291" w:rsidRDefault="00CD5291"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 xml:space="preserve">As the above stated procedure involves too </w:t>
      </w:r>
      <w:r w:rsidR="00401CF0">
        <w:rPr>
          <w:rFonts w:ascii="Times New Roman" w:eastAsia="Malgun Gothic" w:hAnsi="Times New Roman" w:cs="Times New Roman"/>
          <w:color w:val="000000"/>
          <w:sz w:val="20"/>
          <w:szCs w:val="20"/>
          <w:lang w:val="en-GB"/>
        </w:rPr>
        <w:t xml:space="preserve">many steps, </w:t>
      </w:r>
      <w:r w:rsidR="0017450E">
        <w:rPr>
          <w:rFonts w:ascii="Times New Roman" w:eastAsia="Malgun Gothic" w:hAnsi="Times New Roman" w:cs="Times New Roman"/>
          <w:color w:val="000000"/>
          <w:sz w:val="20"/>
          <w:szCs w:val="20"/>
          <w:lang w:val="en-GB"/>
        </w:rPr>
        <w:t>optimizations</w:t>
      </w:r>
      <w:r w:rsidR="00401CF0">
        <w:rPr>
          <w:rFonts w:ascii="Times New Roman" w:eastAsia="Malgun Gothic" w:hAnsi="Times New Roman" w:cs="Times New Roman"/>
          <w:color w:val="000000"/>
          <w:sz w:val="20"/>
          <w:szCs w:val="20"/>
          <w:lang w:val="en-GB"/>
        </w:rPr>
        <w:t xml:space="preserve"> are needed in order to efficien</w:t>
      </w:r>
      <w:r w:rsidR="0017450E">
        <w:rPr>
          <w:rFonts w:ascii="Times New Roman" w:eastAsia="Malgun Gothic" w:hAnsi="Times New Roman" w:cs="Times New Roman"/>
          <w:color w:val="000000"/>
          <w:sz w:val="20"/>
          <w:szCs w:val="20"/>
          <w:lang w:val="en-GB"/>
        </w:rPr>
        <w:t>tly find the serving UPF for the corresponding target application flow for the AF.</w:t>
      </w:r>
    </w:p>
    <w:p w:rsidR="0017450E" w:rsidRDefault="0017450E"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 xml:space="preserve">AF can utilize the already established user plane between the UE and the application server (which is controlled by the same authority as the AF) to find the </w:t>
      </w:r>
      <w:r w:rsidR="009526FE">
        <w:rPr>
          <w:rFonts w:ascii="Times New Roman" w:eastAsia="Malgun Gothic" w:hAnsi="Times New Roman" w:cs="Times New Roman"/>
          <w:color w:val="000000"/>
          <w:sz w:val="20"/>
          <w:szCs w:val="20"/>
          <w:lang w:val="en-GB"/>
        </w:rPr>
        <w:t>serving UPF for the corresponding session.</w:t>
      </w:r>
    </w:p>
    <w:p w:rsidR="009526FE" w:rsidRDefault="009526FE"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AF and operator need to have some service agreement in order for the UPF to detect particular</w:t>
      </w:r>
      <w:r w:rsidR="003025E6">
        <w:rPr>
          <w:rFonts w:ascii="Times New Roman" w:eastAsia="Malgun Gothic" w:hAnsi="Times New Roman" w:cs="Times New Roman"/>
          <w:color w:val="000000"/>
          <w:sz w:val="20"/>
          <w:szCs w:val="20"/>
          <w:lang w:val="en-GB"/>
        </w:rPr>
        <w:t xml:space="preserve"> header/protocol</w:t>
      </w:r>
      <w:r>
        <w:rPr>
          <w:rFonts w:ascii="Times New Roman" w:eastAsia="Malgun Gothic" w:hAnsi="Times New Roman" w:cs="Times New Roman"/>
          <w:color w:val="000000"/>
          <w:sz w:val="20"/>
          <w:szCs w:val="20"/>
          <w:lang w:val="en-GB"/>
        </w:rPr>
        <w:t xml:space="preserve"> in the user plane packets of the UE’</w:t>
      </w:r>
      <w:r w:rsidR="003025E6">
        <w:rPr>
          <w:rFonts w:ascii="Times New Roman" w:eastAsia="Malgun Gothic" w:hAnsi="Times New Roman" w:cs="Times New Roman"/>
          <w:color w:val="000000"/>
          <w:sz w:val="20"/>
          <w:szCs w:val="20"/>
          <w:lang w:val="en-GB"/>
        </w:rPr>
        <w:t>s application flow that contain information related to subscribing the serving UPF by AF.</w:t>
      </w:r>
    </w:p>
    <w:p w:rsidR="003025E6" w:rsidRDefault="003025E6"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AF may include it’s AF ID, along with notification address, Event IDs etc in order for subscribing for particular UPF event exposure service. UPF may check it’s configured information to see if the AF request is valid and the AF is authorized or not in order to subscribe for UPF event exposure service.</w:t>
      </w:r>
    </w:p>
    <w:p w:rsidR="003025E6" w:rsidRPr="00790FD5" w:rsidRDefault="003025E6" w:rsidP="00790FD5">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Other alternative is that once the packet is detected for a UE’s application flow, corresponding AF (which had service agreement with the operator) is notified of the UPF’s address/ and or particular UE’s private address in order for the AF to directly subscribe for the UPF event exposure service via NEF.</w:t>
      </w:r>
    </w:p>
    <w:p w:rsidR="00BD023B" w:rsidRP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9" w:name="_Toc92875663"/>
      <w:bookmarkStart w:id="20" w:name="_Toc93070687"/>
      <w:bookmarkStart w:id="21" w:name="_Toc157447966"/>
      <w:bookmarkStart w:id="22" w:name="_Toc157448173"/>
      <w:r w:rsidRPr="00BD023B">
        <w:rPr>
          <w:rFonts w:ascii="Arial" w:eastAsia="DengXian" w:hAnsi="Arial" w:cs="Times New Roman"/>
          <w:sz w:val="28"/>
          <w:szCs w:val="20"/>
          <w:lang w:val="en-GB"/>
        </w:rPr>
        <w:t>6.X.2</w:t>
      </w:r>
      <w:r w:rsidRPr="00BD023B">
        <w:rPr>
          <w:rFonts w:ascii="Arial" w:eastAsia="DengXian" w:hAnsi="Arial" w:cs="Times New Roman"/>
          <w:sz w:val="28"/>
          <w:szCs w:val="20"/>
          <w:lang w:val="en-GB"/>
        </w:rPr>
        <w:tab/>
        <w:t>Procedures</w:t>
      </w:r>
      <w:bookmarkEnd w:id="18"/>
      <w:bookmarkEnd w:id="19"/>
      <w:bookmarkEnd w:id="20"/>
      <w:bookmarkEnd w:id="21"/>
      <w:bookmarkEnd w:id="22"/>
    </w:p>
    <w:p w:rsidR="003025E6" w:rsidRDefault="00B63446" w:rsidP="003025E6">
      <w:pPr>
        <w:keepNext/>
        <w:overflowPunct w:val="0"/>
        <w:autoSpaceDE w:val="0"/>
        <w:autoSpaceDN w:val="0"/>
        <w:adjustRightInd w:val="0"/>
        <w:spacing w:after="180" w:line="240" w:lineRule="auto"/>
        <w:textAlignment w:val="baseline"/>
      </w:pPr>
      <w:r w:rsidRPr="00B63446">
        <w:rPr>
          <w:rFonts w:ascii="Times New Roman" w:eastAsia="Malgun Gothic" w:hAnsi="Times New Roman" w:cs="Times New Roman"/>
          <w:color w:val="000000"/>
          <w:sz w:val="20"/>
          <w:szCs w:val="20"/>
          <w:lang w:eastAsia="ja-JP"/>
        </w:rPr>
        <w:drawing>
          <wp:inline distT="0" distB="0" distL="0" distR="0" wp14:anchorId="1D15E9CA" wp14:editId="4509C835">
            <wp:extent cx="6120130" cy="4150360"/>
            <wp:effectExtent l="0" t="0" r="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stretch>
                      <a:fillRect/>
                    </a:stretch>
                  </pic:blipFill>
                  <pic:spPr>
                    <a:xfrm>
                      <a:off x="0" y="0"/>
                      <a:ext cx="6120130" cy="4150360"/>
                    </a:xfrm>
                    <a:prstGeom prst="rect">
                      <a:avLst/>
                    </a:prstGeom>
                  </pic:spPr>
                </pic:pic>
              </a:graphicData>
            </a:graphic>
          </wp:inline>
        </w:drawing>
      </w:r>
    </w:p>
    <w:p w:rsidR="00BD023B" w:rsidRPr="00BD023B" w:rsidRDefault="003025E6" w:rsidP="003025E6">
      <w:pPr>
        <w:pStyle w:val="Caption"/>
        <w:rPr>
          <w:rFonts w:ascii="Times New Roman" w:eastAsia="Malgun Gothic" w:hAnsi="Times New Roman" w:cs="Times New Roman"/>
          <w:color w:val="000000"/>
          <w:sz w:val="20"/>
          <w:szCs w:val="20"/>
          <w:lang w:val="en-GB" w:eastAsia="ja-JP"/>
        </w:rPr>
      </w:pPr>
      <w:r>
        <w:t>Figure 6.X.2-1</w:t>
      </w:r>
    </w:p>
    <w:p w:rsidR="00BD023B"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lastRenderedPageBreak/>
        <w:t>UPF/SMF are pre-configured by the AF to detect certain headers/protocol type in user plane.</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p>
    <w:p w:rsidR="00BD1A72" w:rsidRPr="00BD6439" w:rsidRDefault="00BD6439" w:rsidP="00BD6439">
      <w:pPr>
        <w:pStyle w:val="EditorsNote"/>
        <w:ind w:left="1890" w:hanging="810"/>
        <w:rPr>
          <w:color w:val="auto"/>
        </w:rPr>
      </w:pPr>
      <w:r w:rsidRPr="00BD6439">
        <w:rPr>
          <w:rFonts w:eastAsia="Times New Roman"/>
          <w:color w:val="auto"/>
          <w:lang w:eastAsia="en-GB"/>
        </w:rPr>
        <w:t>NOTE</w:t>
      </w:r>
      <w:r w:rsidR="00BD1A72" w:rsidRPr="00BD6439">
        <w:rPr>
          <w:color w:val="auto"/>
        </w:rPr>
        <w:t>:</w:t>
      </w:r>
      <w:r>
        <w:rPr>
          <w:color w:val="auto"/>
        </w:rPr>
        <w:tab/>
      </w:r>
      <w:r w:rsidR="00BD1A72" w:rsidRPr="00BD6439">
        <w:rPr>
          <w:color w:val="auto"/>
        </w:rPr>
        <w:t>The policy/configuration may be stored for Any UE, and may require the use of some aspects of Solutions for KI#3</w:t>
      </w: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UE and the application server (same authority of the </w:t>
      </w:r>
      <w:r w:rsidR="00BD1A72">
        <w:rPr>
          <w:rFonts w:ascii="Times New Roman" w:eastAsia="Malgun Gothic" w:hAnsi="Times New Roman" w:cs="Times New Roman"/>
          <w:color w:val="000000"/>
          <w:sz w:val="20"/>
          <w:szCs w:val="20"/>
          <w:lang w:val="en-GB" w:eastAsia="ja-JP"/>
        </w:rPr>
        <w:t>AF) have an established application flow between them.</w:t>
      </w: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The </w:t>
      </w:r>
      <w:r w:rsidR="00BD1A72">
        <w:rPr>
          <w:rFonts w:ascii="Times New Roman" w:eastAsia="Malgun Gothic" w:hAnsi="Times New Roman" w:cs="Times New Roman"/>
          <w:color w:val="000000"/>
          <w:sz w:val="20"/>
          <w:szCs w:val="20"/>
          <w:lang w:val="en-GB" w:eastAsia="ja-JP"/>
        </w:rPr>
        <w:t>AF decides to subscribe UPF event exposure service for the particular UE.</w:t>
      </w:r>
    </w:p>
    <w:p w:rsidR="00BD1A72" w:rsidRDefault="00BD1A7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AF (via the application server) sends user plane packet to UE with specific headers</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The headers may include information related to AF ID, notification address</w:t>
      </w:r>
      <w:r w:rsidR="00872B6D">
        <w:rPr>
          <w:rFonts w:ascii="Times New Roman" w:eastAsia="Malgun Gothic" w:hAnsi="Times New Roman" w:cs="Times New Roman"/>
          <w:color w:val="000000"/>
          <w:sz w:val="20"/>
          <w:szCs w:val="20"/>
          <w:lang w:val="en-GB" w:eastAsia="ja-JP"/>
        </w:rPr>
        <w:t xml:space="preserve"> (optional).</w:t>
      </w:r>
    </w:p>
    <w:p w:rsidR="00872B6D" w:rsidRPr="00872B6D" w:rsidRDefault="00872B6D" w:rsidP="00A905A7">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sidRPr="00872B6D">
        <w:rPr>
          <w:rFonts w:ascii="Times New Roman" w:eastAsia="Malgun Gothic" w:hAnsi="Times New Roman" w:cs="Times New Roman"/>
          <w:color w:val="000000"/>
          <w:sz w:val="20"/>
          <w:szCs w:val="20"/>
          <w:lang w:val="en-GB" w:eastAsia="ja-JP"/>
        </w:rPr>
        <w:t>Based on the UPF configuration (in Step 1), UPF detects the specific header related to UPF discovery present in UE’s flow.</w:t>
      </w:r>
      <w:r>
        <w:rPr>
          <w:rFonts w:ascii="Times New Roman" w:eastAsia="Malgun Gothic" w:hAnsi="Times New Roman" w:cs="Times New Roman"/>
          <w:color w:val="000000"/>
          <w:sz w:val="20"/>
          <w:szCs w:val="20"/>
          <w:lang w:val="en-GB" w:eastAsia="ja-JP"/>
        </w:rPr>
        <w:t xml:space="preserve"> </w:t>
      </w:r>
      <w:r w:rsidRPr="00872B6D">
        <w:rPr>
          <w:rFonts w:ascii="Times New Roman" w:eastAsia="Malgun Gothic" w:hAnsi="Times New Roman" w:cs="Times New Roman"/>
          <w:color w:val="000000"/>
          <w:sz w:val="20"/>
          <w:szCs w:val="20"/>
          <w:lang w:val="en-GB" w:eastAsia="ja-JP"/>
        </w:rPr>
        <w:t>The specific header information may be in a format of request, containing AF ID, notification address etc.</w:t>
      </w:r>
    </w:p>
    <w:p w:rsidR="00872B6D" w:rsidRPr="00872B6D" w:rsidRDefault="00872B6D" w:rsidP="00872B6D">
      <w:pPr>
        <w:pStyle w:val="EditorsNote"/>
        <w:ind w:firstLine="0"/>
      </w:pPr>
      <w:r w:rsidRPr="00872B6D">
        <w:t>EN: The exact format of header information is to be determined by Stage-3.</w:t>
      </w:r>
    </w:p>
    <w:p w:rsidR="00872B6D" w:rsidRDefault="00872B6D" w:rsidP="00872B6D">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In case the header information </w:t>
      </w:r>
      <w:r>
        <w:rPr>
          <w:rFonts w:ascii="Times New Roman" w:eastAsia="Malgun Gothic" w:hAnsi="Times New Roman" w:cs="Times New Roman"/>
          <w:color w:val="000000"/>
          <w:sz w:val="20"/>
          <w:szCs w:val="20"/>
          <w:lang w:val="en-GB" w:eastAsia="ja-JP"/>
        </w:rPr>
        <w:t xml:space="preserve">also </w:t>
      </w:r>
      <w:r w:rsidR="006416C7">
        <w:rPr>
          <w:rFonts w:ascii="Times New Roman" w:eastAsia="Malgun Gothic" w:hAnsi="Times New Roman" w:cs="Times New Roman"/>
          <w:color w:val="000000"/>
          <w:sz w:val="20"/>
          <w:szCs w:val="20"/>
          <w:lang w:val="en-GB" w:eastAsia="ja-JP"/>
        </w:rPr>
        <w:t>includes Event I</w:t>
      </w:r>
      <w:r>
        <w:rPr>
          <w:rFonts w:ascii="Times New Roman" w:eastAsia="Malgun Gothic" w:hAnsi="Times New Roman" w:cs="Times New Roman"/>
          <w:color w:val="000000"/>
          <w:sz w:val="20"/>
          <w:szCs w:val="20"/>
          <w:lang w:val="en-GB" w:eastAsia="ja-JP"/>
        </w:rPr>
        <w:t xml:space="preserve">D, and no further authorization for AF request </w:t>
      </w:r>
      <w:r w:rsidR="006416C7">
        <w:rPr>
          <w:rFonts w:ascii="Times New Roman" w:eastAsia="Malgun Gothic" w:hAnsi="Times New Roman" w:cs="Times New Roman"/>
          <w:color w:val="000000"/>
          <w:sz w:val="20"/>
          <w:szCs w:val="20"/>
          <w:lang w:val="en-GB" w:eastAsia="ja-JP"/>
        </w:rPr>
        <w:t xml:space="preserve">by UPF </w:t>
      </w:r>
      <w:r>
        <w:rPr>
          <w:rFonts w:ascii="Times New Roman" w:eastAsia="Malgun Gothic" w:hAnsi="Times New Roman" w:cs="Times New Roman"/>
          <w:color w:val="000000"/>
          <w:sz w:val="20"/>
          <w:szCs w:val="20"/>
          <w:lang w:val="en-GB" w:eastAsia="ja-JP"/>
        </w:rPr>
        <w:t>is required</w:t>
      </w:r>
      <w:r w:rsidR="006416C7">
        <w:rPr>
          <w:rFonts w:ascii="Times New Roman" w:eastAsia="Malgun Gothic" w:hAnsi="Times New Roman" w:cs="Times New Roman"/>
          <w:color w:val="000000"/>
          <w:sz w:val="20"/>
          <w:szCs w:val="20"/>
          <w:lang w:val="en-GB" w:eastAsia="ja-JP"/>
        </w:rPr>
        <w:t>. UPF can implicitly</w:t>
      </w:r>
    </w:p>
    <w:p w:rsidR="001E7535" w:rsidRDefault="001E7535" w:rsidP="00872B6D">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p>
    <w:p w:rsidR="001E7535" w:rsidRPr="00872B6D" w:rsidRDefault="001E7535" w:rsidP="00872B6D">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Steps 6-8 occur when AF has to explicitly subscribe to UPF via control plane after discovering the desired UPF.</w:t>
      </w:r>
    </w:p>
    <w:p w:rsidR="00872B6D" w:rsidRDefault="00DC2957" w:rsidP="00CB33FC">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UPF based on the header information in Step 5, notifies the AF of the UPF ID and/or optionally UE’s private IP address.</w:t>
      </w:r>
    </w:p>
    <w:p w:rsidR="00872B6D" w:rsidRDefault="00DC2957" w:rsidP="00CB33FC">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AF to NEF : AF after knowing the serving UPF ID, subscribes via NEF for UPF event exposure</w:t>
      </w:r>
    </w:p>
    <w:p w:rsidR="00872B6D" w:rsidRDefault="00DC2957" w:rsidP="00CB33FC">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NEF </w:t>
      </w:r>
      <w:r w:rsidR="00E94EA8">
        <w:rPr>
          <w:rFonts w:ascii="Times New Roman" w:eastAsia="Malgun Gothic" w:hAnsi="Times New Roman" w:cs="Times New Roman"/>
          <w:color w:val="000000"/>
          <w:sz w:val="20"/>
          <w:szCs w:val="20"/>
          <w:lang w:val="en-GB" w:eastAsia="ja-JP"/>
        </w:rPr>
        <w:t xml:space="preserve">directly </w:t>
      </w:r>
      <w:r w:rsidR="00B63446">
        <w:rPr>
          <w:rFonts w:ascii="Times New Roman" w:eastAsia="Malgun Gothic" w:hAnsi="Times New Roman" w:cs="Times New Roman"/>
          <w:color w:val="000000"/>
          <w:sz w:val="20"/>
          <w:szCs w:val="20"/>
          <w:lang w:val="en-GB" w:eastAsia="ja-JP"/>
        </w:rPr>
        <w:t xml:space="preserve">subscribes </w:t>
      </w:r>
      <w:r w:rsidR="00E94EA8">
        <w:rPr>
          <w:rFonts w:ascii="Times New Roman" w:eastAsia="Malgun Gothic" w:hAnsi="Times New Roman" w:cs="Times New Roman"/>
          <w:color w:val="000000"/>
          <w:sz w:val="20"/>
          <w:szCs w:val="20"/>
          <w:lang w:val="en-GB" w:eastAsia="ja-JP"/>
        </w:rPr>
        <w:t>for</w:t>
      </w:r>
      <w:r w:rsidR="00B63446">
        <w:rPr>
          <w:rFonts w:ascii="Times New Roman" w:eastAsia="Malgun Gothic" w:hAnsi="Times New Roman" w:cs="Times New Roman"/>
          <w:color w:val="000000"/>
          <w:sz w:val="20"/>
          <w:szCs w:val="20"/>
          <w:lang w:val="en-GB" w:eastAsia="ja-JP"/>
        </w:rPr>
        <w:t xml:space="preserve"> the UPF event exposure service for the relevant event, without the need for performing serving UPF discovery.</w:t>
      </w:r>
    </w:p>
    <w:p w:rsidR="00352F12" w:rsidRDefault="00352F12" w:rsidP="00352F12">
      <w:pPr>
        <w:pStyle w:val="EditorsNote"/>
        <w:rPr>
          <w:rStyle w:val="EditorsNoteChar"/>
          <w:color w:val="auto"/>
        </w:rPr>
      </w:pPr>
    </w:p>
    <w:p w:rsidR="00BD023B" w:rsidRPr="00BD023B" w:rsidRDefault="00BD023B" w:rsidP="00BD023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val="en-GB" w:eastAsia="ja-JP"/>
        </w:rPr>
      </w:pPr>
      <w:bookmarkStart w:id="23" w:name="_Toc326248711"/>
      <w:bookmarkStart w:id="24" w:name="_Toc510604409"/>
      <w:bookmarkStart w:id="25" w:name="_Toc92875664"/>
      <w:bookmarkStart w:id="26" w:name="_Toc93070688"/>
      <w:bookmarkStart w:id="27" w:name="_Toc157447967"/>
      <w:bookmarkStart w:id="28" w:name="_Toc157448174"/>
      <w:r w:rsidRPr="00BD023B">
        <w:rPr>
          <w:rFonts w:ascii="Arial" w:eastAsia="Malgun Gothic" w:hAnsi="Arial" w:cs="Times New Roman"/>
          <w:sz w:val="28"/>
          <w:szCs w:val="20"/>
          <w:lang w:val="en-GB" w:eastAsia="ja-JP"/>
        </w:rPr>
        <w:t>6.X.</w:t>
      </w:r>
      <w:r w:rsidR="0038325F">
        <w:rPr>
          <w:rFonts w:ascii="Arial" w:eastAsia="Malgun Gothic" w:hAnsi="Arial" w:cs="Times New Roman"/>
          <w:sz w:val="28"/>
          <w:szCs w:val="20"/>
          <w:lang w:val="en-GB" w:eastAsia="ja-JP"/>
        </w:rPr>
        <w:t>3</w:t>
      </w:r>
      <w:r w:rsidRPr="00BD023B">
        <w:rPr>
          <w:rFonts w:ascii="Arial" w:eastAsia="Malgun Gothic" w:hAnsi="Arial" w:cs="Times New Roman"/>
          <w:sz w:val="28"/>
          <w:szCs w:val="20"/>
          <w:lang w:val="en-GB" w:eastAsia="ja-JP"/>
        </w:rPr>
        <w:tab/>
      </w:r>
      <w:bookmarkEnd w:id="23"/>
      <w:bookmarkEnd w:id="24"/>
      <w:bookmarkEnd w:id="25"/>
      <w:r w:rsidRPr="00BD023B">
        <w:rPr>
          <w:rFonts w:ascii="Arial" w:eastAsia="Malgun Gothic" w:hAnsi="Arial" w:cs="Times New Roman"/>
          <w:sz w:val="28"/>
          <w:szCs w:val="20"/>
          <w:lang w:val="en-GB" w:eastAsia="ja-JP"/>
        </w:rPr>
        <w:t>Impacts on services, entities and interfaces</w:t>
      </w:r>
      <w:bookmarkEnd w:id="26"/>
      <w:bookmarkEnd w:id="27"/>
      <w:bookmarkEnd w:id="28"/>
    </w:p>
    <w:p w:rsidR="00BD023B" w:rsidRPr="00BD023B" w:rsidRDefault="00BD1A72" w:rsidP="00BD023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UPF impacts</w:t>
      </w:r>
    </w:p>
    <w:p w:rsidR="001E7535" w:rsidRPr="008E5948" w:rsidRDefault="001E7535" w:rsidP="008E5948">
      <w:pPr>
        <w:keepLines/>
        <w:numPr>
          <w:ilvl w:val="0"/>
          <w:numId w:val="4"/>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Detection of specific header pertaining to AF request in UE’s user plane packets</w:t>
      </w:r>
      <w:r w:rsidR="0017450E">
        <w:rPr>
          <w:rFonts w:ascii="Times New Roman" w:eastAsia="Malgun Gothic" w:hAnsi="Times New Roman" w:cs="Times New Roman"/>
          <w:color w:val="000000"/>
          <w:sz w:val="20"/>
          <w:szCs w:val="20"/>
          <w:lang w:val="en-GB"/>
        </w:rPr>
        <w:t>.</w:t>
      </w:r>
    </w:p>
    <w:p w:rsidR="00BD023B" w:rsidRDefault="001E7535" w:rsidP="001A02E7">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NEF</w:t>
      </w:r>
      <w:r w:rsidR="001A02E7">
        <w:rPr>
          <w:rFonts w:ascii="Times New Roman" w:eastAsia="Malgun Gothic" w:hAnsi="Times New Roman" w:cs="Times New Roman"/>
          <w:color w:val="000000"/>
          <w:sz w:val="20"/>
          <w:szCs w:val="20"/>
          <w:lang w:val="en-GB"/>
        </w:rPr>
        <w:t xml:space="preserve"> impacts</w:t>
      </w:r>
    </w:p>
    <w:p w:rsidR="001A02E7" w:rsidRPr="001A02E7" w:rsidRDefault="001E7535" w:rsidP="001A02E7">
      <w:pPr>
        <w:pStyle w:val="ListParagraph"/>
        <w:keepLines/>
        <w:numPr>
          <w:ilvl w:val="0"/>
          <w:numId w:val="4"/>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Directly subscribing to particular UPF for event exposure based on AF’s request.</w:t>
      </w:r>
    </w:p>
    <w:p w:rsidR="00BD023B" w:rsidRPr="00BD023B" w:rsidRDefault="00BD023B" w:rsidP="00BD023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color w:val="FF0000"/>
          <w:sz w:val="20"/>
          <w:szCs w:val="20"/>
          <w:lang w:val="en-GB" w:eastAsia="ja-JP"/>
        </w:rPr>
      </w:pP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BD023B">
        <w:rPr>
          <w:rFonts w:ascii="Times New Roman" w:eastAsia="Malgun Gothic" w:hAnsi="Times New Roman" w:cs="Times New Roman"/>
          <w:b/>
          <w:color w:val="FF0000"/>
          <w:sz w:val="28"/>
          <w:szCs w:val="36"/>
          <w:lang w:val="en-GB" w:eastAsia="ko-KR"/>
        </w:rPr>
        <w:t>*** End of the changes ***</w:t>
      </w:r>
    </w:p>
    <w:p w:rsidR="00BD023B" w:rsidRPr="00BD023B" w:rsidRDefault="00BD023B" w:rsidP="00BD023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sz w:val="20"/>
          <w:szCs w:val="20"/>
          <w:lang w:val="en-GB" w:eastAsia="ja-JP"/>
        </w:rPr>
      </w:pPr>
    </w:p>
    <w:p w:rsidR="002A2CC0" w:rsidRPr="00BD023B" w:rsidRDefault="002A2CC0" w:rsidP="00BD023B"/>
    <w:sectPr w:rsidR="002A2CC0" w:rsidRPr="00BD023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09B" w:rsidRDefault="0001009B">
      <w:pPr>
        <w:spacing w:after="0" w:line="240" w:lineRule="auto"/>
      </w:pPr>
      <w:r>
        <w:separator/>
      </w:r>
    </w:p>
  </w:endnote>
  <w:endnote w:type="continuationSeparator" w:id="0">
    <w:p w:rsidR="0001009B" w:rsidRDefault="00010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402" w:rsidRDefault="00A01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D2613C">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D2613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01009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402" w:rsidRDefault="00A01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09B" w:rsidRDefault="0001009B">
      <w:pPr>
        <w:spacing w:after="0" w:line="240" w:lineRule="auto"/>
      </w:pPr>
      <w:r>
        <w:separator/>
      </w:r>
    </w:p>
  </w:footnote>
  <w:footnote w:type="continuationSeparator" w:id="0">
    <w:p w:rsidR="0001009B" w:rsidRDefault="00010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01009B"/>
  <w:p w:rsidR="00554E12" w:rsidRDefault="0001009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D2613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D2613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1402">
      <w:rPr>
        <w:rFonts w:ascii="Arial" w:hAnsi="Arial" w:cs="Arial"/>
        <w:b/>
        <w:bCs/>
        <w:noProof/>
        <w:sz w:val="18"/>
        <w:lang w:val="fr-FR"/>
      </w:rPr>
      <w:t>1</w:t>
    </w:r>
    <w:r>
      <w:rPr>
        <w:rFonts w:ascii="Arial" w:hAnsi="Arial" w:cs="Arial"/>
        <w:b/>
        <w:bCs/>
        <w:sz w:val="18"/>
      </w:rPr>
      <w:fldChar w:fldCharType="end"/>
    </w:r>
  </w:p>
  <w:p w:rsidR="00554E12" w:rsidRPr="00861603" w:rsidRDefault="0001009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402" w:rsidRDefault="00A01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A11C3"/>
    <w:multiLevelType w:val="hybridMultilevel"/>
    <w:tmpl w:val="395C005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E3470E"/>
    <w:multiLevelType w:val="hybridMultilevel"/>
    <w:tmpl w:val="60FC1254"/>
    <w:lvl w:ilvl="0" w:tplc="12406C2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55"/>
    <w:rsid w:val="0001009B"/>
    <w:rsid w:val="000B76B8"/>
    <w:rsid w:val="000E7BFD"/>
    <w:rsid w:val="0017450E"/>
    <w:rsid w:val="001A02E7"/>
    <w:rsid w:val="001E7535"/>
    <w:rsid w:val="002851C5"/>
    <w:rsid w:val="002A2CC0"/>
    <w:rsid w:val="003025E6"/>
    <w:rsid w:val="003360B9"/>
    <w:rsid w:val="00352F12"/>
    <w:rsid w:val="0038325F"/>
    <w:rsid w:val="00401CF0"/>
    <w:rsid w:val="004B436A"/>
    <w:rsid w:val="006416C7"/>
    <w:rsid w:val="006B254C"/>
    <w:rsid w:val="00790FD5"/>
    <w:rsid w:val="00872B6D"/>
    <w:rsid w:val="008E5948"/>
    <w:rsid w:val="009526FE"/>
    <w:rsid w:val="009C1360"/>
    <w:rsid w:val="00A01402"/>
    <w:rsid w:val="00A13D55"/>
    <w:rsid w:val="00A71CBB"/>
    <w:rsid w:val="00A94373"/>
    <w:rsid w:val="00B16528"/>
    <w:rsid w:val="00B63446"/>
    <w:rsid w:val="00BD023B"/>
    <w:rsid w:val="00BD1A72"/>
    <w:rsid w:val="00BD6439"/>
    <w:rsid w:val="00CD5291"/>
    <w:rsid w:val="00D2613C"/>
    <w:rsid w:val="00DC2957"/>
    <w:rsid w:val="00E94EA8"/>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2F0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13D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unhideWhenUsed/>
    <w:qFormat/>
    <w:rsid w:val="00A13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13D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13D5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D55"/>
    <w:rPr>
      <w:rFonts w:ascii="Arial" w:eastAsia="Malgun Gothic" w:hAnsi="Arial" w:cs="Times New Roman"/>
      <w:sz w:val="36"/>
      <w:szCs w:val="20"/>
      <w:lang w:val="en-GB" w:eastAsia="ja-JP"/>
    </w:rPr>
  </w:style>
  <w:style w:type="paragraph" w:customStyle="1" w:styleId="B1">
    <w:name w:val="B1"/>
    <w:basedOn w:val="Normal"/>
    <w:link w:val="B1Char"/>
    <w:qFormat/>
    <w:rsid w:val="00A13D55"/>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A13D55"/>
    <w:rPr>
      <w:rFonts w:ascii="Times New Roman" w:eastAsia="Malgun Gothic"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A13D55"/>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FF0000"/>
      <w:sz w:val="20"/>
      <w:szCs w:val="20"/>
      <w:lang w:val="en-GB" w:eastAsia="ja-JP"/>
    </w:rPr>
  </w:style>
  <w:style w:type="character" w:customStyle="1" w:styleId="EditorsNoteChar">
    <w:name w:val="Editor's Note Char"/>
    <w:aliases w:val="EN Char"/>
    <w:link w:val="EditorsNote"/>
    <w:qFormat/>
    <w:locked/>
    <w:rsid w:val="00A13D55"/>
    <w:rPr>
      <w:rFonts w:ascii="Times New Roman" w:eastAsia="Malgun Gothic" w:hAnsi="Times New Roman" w:cs="Times New Roman"/>
      <w:color w:val="FF0000"/>
      <w:sz w:val="20"/>
      <w:szCs w:val="20"/>
      <w:lang w:val="en-GB" w:eastAsia="ja-JP"/>
    </w:rPr>
  </w:style>
  <w:style w:type="paragraph" w:customStyle="1" w:styleId="CRCoverPage">
    <w:name w:val="CR Cover Page"/>
    <w:link w:val="CRCoverPageZchn"/>
    <w:rsid w:val="00A13D55"/>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A13D55"/>
    <w:rPr>
      <w:rFonts w:ascii="Arial" w:eastAsia="Malgun Gothic" w:hAnsi="Arial" w:cs="Times New Roman"/>
      <w:sz w:val="20"/>
      <w:szCs w:val="20"/>
      <w:lang w:val="en-GB"/>
    </w:rPr>
  </w:style>
  <w:style w:type="character" w:customStyle="1" w:styleId="Heading2Char">
    <w:name w:val="Heading 2 Char"/>
    <w:basedOn w:val="DefaultParagraphFont"/>
    <w:link w:val="Heading2"/>
    <w:uiPriority w:val="9"/>
    <w:rsid w:val="00A13D5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13D55"/>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A13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D55"/>
    <w:rPr>
      <w:rFonts w:ascii="Segoe UI" w:hAnsi="Segoe UI" w:cs="Segoe UI"/>
      <w:sz w:val="18"/>
      <w:szCs w:val="18"/>
    </w:rPr>
  </w:style>
  <w:style w:type="character" w:customStyle="1" w:styleId="Heading4Char">
    <w:name w:val="Heading 4 Char"/>
    <w:basedOn w:val="DefaultParagraphFont"/>
    <w:link w:val="Heading4"/>
    <w:uiPriority w:val="9"/>
    <w:rsid w:val="00A13D55"/>
    <w:rPr>
      <w:rFonts w:asciiTheme="majorHAnsi" w:eastAsiaTheme="majorEastAsia" w:hAnsiTheme="majorHAnsi" w:cstheme="majorBidi"/>
      <w:i/>
      <w:iCs/>
      <w:color w:val="2E74B5" w:themeColor="accent1" w:themeShade="BF"/>
    </w:rPr>
  </w:style>
  <w:style w:type="paragraph" w:styleId="Footer">
    <w:name w:val="footer"/>
    <w:basedOn w:val="Normal"/>
    <w:link w:val="FooterChar"/>
    <w:uiPriority w:val="99"/>
    <w:unhideWhenUsed/>
    <w:rsid w:val="00BD0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23B"/>
  </w:style>
  <w:style w:type="paragraph" w:styleId="Header">
    <w:name w:val="header"/>
    <w:basedOn w:val="Normal"/>
    <w:link w:val="HeaderChar"/>
    <w:uiPriority w:val="99"/>
    <w:unhideWhenUsed/>
    <w:rsid w:val="00BD0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23B"/>
  </w:style>
  <w:style w:type="paragraph" w:styleId="ListParagraph">
    <w:name w:val="List Paragraph"/>
    <w:basedOn w:val="Normal"/>
    <w:uiPriority w:val="34"/>
    <w:qFormat/>
    <w:rsid w:val="001A02E7"/>
    <w:pPr>
      <w:ind w:left="720"/>
      <w:contextualSpacing/>
    </w:pPr>
  </w:style>
  <w:style w:type="paragraph" w:styleId="Caption">
    <w:name w:val="caption"/>
    <w:basedOn w:val="Normal"/>
    <w:next w:val="Normal"/>
    <w:uiPriority w:val="35"/>
    <w:unhideWhenUsed/>
    <w:qFormat/>
    <w:rsid w:val="003025E6"/>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1502">
      <w:bodyDiv w:val="1"/>
      <w:marLeft w:val="0"/>
      <w:marRight w:val="0"/>
      <w:marTop w:val="0"/>
      <w:marBottom w:val="0"/>
      <w:divBdr>
        <w:top w:val="none" w:sz="0" w:space="0" w:color="auto"/>
        <w:left w:val="none" w:sz="0" w:space="0" w:color="auto"/>
        <w:bottom w:val="none" w:sz="0" w:space="0" w:color="auto"/>
        <w:right w:val="none" w:sz="0" w:space="0" w:color="auto"/>
      </w:divBdr>
    </w:div>
    <w:div w:id="1446655911">
      <w:bodyDiv w:val="1"/>
      <w:marLeft w:val="0"/>
      <w:marRight w:val="0"/>
      <w:marTop w:val="0"/>
      <w:marBottom w:val="0"/>
      <w:divBdr>
        <w:top w:val="none" w:sz="0" w:space="0" w:color="auto"/>
        <w:left w:val="none" w:sz="0" w:space="0" w:color="auto"/>
        <w:bottom w:val="none" w:sz="0" w:space="0" w:color="auto"/>
        <w:right w:val="none" w:sz="0" w:space="0" w:color="auto"/>
      </w:divBdr>
    </w:div>
    <w:div w:id="14758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2024-02-19T09:37:00Z</dcterms:created>
  <dcterms:modified xsi:type="dcterms:W3CDTF">2024-02-19T09:37:00Z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